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2016/101 vom 11. September 2017</w:t>
      </w:r>
    </w:p>
    <w:p>
      <w:r>
        <w:t>Sg Versicherungsgericht, 2017-09-11, DE</w:t>
      </w:r>
    </w:p>
    <w:p>
      <w:r>
        <w:rPr>
          <w:b/>
        </w:rPr>
        <w:t xml:space="preserve">Quelle: </w:t>
      </w:r>
      <w:r>
        <w:t>https://mcp.opencaselaw.ch/entscheid/sg_publikationen_IV 2016_101</w:t>
      </w:r>
    </w:p>
    <w:p>
      <w:r>
        <w:t>FR: SG_VERSICHERUNGSGERICHT IV 2016/101 du 11 septembre 2017</w:t>
      </w:r>
    </w:p>
    <w:p>
      <w:r>
        <w:t>IT: SG_VERSICHERUNGSGERICHT IV 2016/101 del 11 settembre 2017</w:t>
      </w:r>
    </w:p>
    <w:p>
      <w:pPr>
        <w:pStyle w:val="Heading2"/>
      </w:pPr>
      <w:r>
        <w:t>Regeste</w:t>
      </w:r>
    </w:p>
    <w:p>
      <w:r>
        <w:t>Art. 42ter Abs. 3 IVG. Art. 39 IVV. Rz. 8079 KSIH. Intensivpflegezuschlag. Unterscheidung zwischen "gewöhnlichem" und besonders intensivem behinderungsbedingtem Überwachungsbedarf. Eine besonders intensive dauernde Überwachung zeichnet sich dadurch aus, dass von der Betreuungsperson eine überdurchschnittlich hohe Aufmerksamkeit und eine ständige Interventionsbereitschaft gefordert werden. Da der Versicherte Gefahren immer noch nicht adäquat einschätzen kann und sich der Folgen seines Handelns nicht bewusst ist, besteht weiterhin ein besonders intensiver Überwachungsbedarf. Der Versicherte hat daher unverändert Anspruch auf einen Intensivpflegezuschlag. Gutheissung der Beschwerde (Entscheid des Versicherungsgerichts des Kantons St. Gallen vom 11. September 2017, IV 2016/101). Aufgehoben durch Urteil des Bundesgerichts 8C_741/2017.</w:t>
      </w:r>
    </w:p>
    <w:p>
      <w:pPr>
        <w:pStyle w:val="Heading2"/>
      </w:pPr>
      <w:r>
        <w:t>Erwägungen</w:t>
      </w:r>
    </w:p>
    <w:p>
      <w:r>
        <w:rPr>
          <w:b/>
        </w:rPr>
        <w:t>E. 1</w:t>
      </w:r>
    </w:p>
    <w:p>
      <w:r>
        <w:t>1.1  Zunächst ist zu prüfen, ob die Beschwerde rechtzeitig erhoben worden ist. Gemäss Art. 60 Abs. 1 des Bundesgesetzes über den Allgemeinen Teil des Sozialversicherungsrechts (ATSG, SR 830.1) ist die Beschwerde innerhalb von 30 Tagen nach der Eröffnung der Verfügung einzureichen. Eine Partei kann sich, wenn sie nicht persönlich zu handeln hat, jederzeit vertreten lassen (Art. 37 Abs. 1 ATSG). Solange die Partei die Vollmacht nicht widerruft, macht der Versicherungsträger seine Mitteilungen an die Vertretung (Art. 37 Abs. 3 ATSG). Aus der mangelhaften Eröffnung einer Verfügung darf der betroffenen Person gemäss Art. 49 Abs. 3 Satz 3 ATSG kein Nachteil erwachsen. Nach der Rechtsprechung ist nicht jede mangelhafte Eröffnung schlechthin nichtig mit der Konsequenz, dass die Rechtsmittelfrist nicht zu laufen beginnen könnte. Aus dem Grundsatz, dass den Parteien aus einer mangelhaften Eröffnung keine Nachteile erwachsen dürfen, folgt vielmehr, dass dem beabsichtigen Rechtsschutz schon dann Genüge getan wird, wenn eine objektiv mangelhafte Eröffnung trotz ihres Mangels ihren Zweck erreicht. Das bedeutet nichts anderes, als dass nach den konkreten Umständen des Einzelfalls zu prüfen ist, ob die betroffene Partei durch den gerügten Eröffnungsmangel tatsächlich irregeführt und dadurch benachteiligt worden ist. Richtschnur für die Beurteilung dieser Frage ist der auch in diesem prozessualen Bereich geltende Grundsatz von Treu und Glauben, an welchem die Berufung auf Formmängel in jedem Fall ihre Grenze findet (Urteil des Bundesgerichts vom 10. November 2010, 9C_791/2010 E. 2.2). 1.2  Der Rechtsvertreter des Beschwerdeführers hat der IV-Stelle das Vertretungsverhältnis am 11. Januar 2016 angezeigt (IV-act. 185). Trotzdem ist die Revisionsverfügung vom 8. Februar 2016 dem Vater des Beschwerdeführers zugestellt worden (IV-act. 88). Die Eltern des Beschwerdeführers haben den Rechtsvertreter am Tag der mangelhaften Eröffnung, d.h. am 9. Februar 2016, über den Erhalt der Verfügung in Kenntnis gesetzt. Da der Rechtsvertreter noch am selben Tag bei der Beschwerdegegnerin die Zustellung der Verfügung verlangt hat, ist davon auszugehen, dass er von den Eltern des Beschwerdeführers nur telefonisch über die Verfügungseröffnung informiert worden ist, d.h. dass ihm die Verfügung selber zu diesem Zeitpunkt (9. Februar 2016) noch nicht vorgelegen hat. Die mangelhafte Eröffnung hatte ihren Zweck zum damaligen Zeitpunkt also noch nicht erreicht: Entscheidend ist nicht die Kenntnis des Rechtsvertreters über den Bestand und das Dispositiv einer irrtümlicherweise der versicherten Person eröffneten Verfügung, sondern die Kenntnis der Verfügung im eigentlichen Wortlaut, d.h. samt Begründung. Dies ist in aller Regel erst der Fall, wenn der Rechtsvertreter die Verfügung (im Original oder in Kopie) in den Händen hält (oder wenigstens in den Händen halten könnte). Erst ab diesem Zeitpunkt vermag er die volle Tragweite des Verwaltungsentscheides und die Möglichkeit eines Weiterzugs an die höhere Instanz abzuschätzen (vgl. Urteil des Bundesgerichts vom 10. November 2010, 9C_791/2010 E. 4.2). Der Rechtsvertreter hat am 10. Februar 2016 die vollständigen Akten des Verwaltungsverfahrens angefordert. Die Akten sind ihm am 11. Februar 2016 per A-Post zugestellt worden, d.h. er dürfte die Akten am 12. Februar 2016 erhalten haben. Im Aktendossier muss sich auch die Verfügung vom 8. Februar 2016 befunden haben. Dem Rechtsvertreter hat am 12. Februar 2016 somit mit überwiegender Wahrscheinlichkeit eine Kopie der Verfügung vom 8. Februar 2016 vorgelegen. Die mangelhafte Eröffnung hatte ihren Zweck also am 12. Februar 2016 erreicht, weshalb die Beschwerdefrist eigentlich am 13. Februar 2016 hätte zu laufen beginnen müssen. Allerdings hat die Beschwerdegegnerin am 16. Februar 2016 erneut eine Verfügung erlassen: Der Inhalt der Verfügung hat demjenigen der Verfügung vom 8. Februar 2016 entsprochen. Die Verfügungen haben sich lediglich hinsichtlich des Verfügungsdatums unterschieden. Zudem ist auf der Verfügung vom 16. Februar 2016 in fetter Schrift vermerkt worden, dass diese die Verfügung vom 8. Februar 2016 ersetze. Indem die Beschwerdegegnerin die Verfügung vom 16. Februar 2016 erlassen hat, hat sie beim Rechtsvertreter den − falschen − Eindruck erweckt, dass die Verfügung vom 8. Februar 2016 aufgehoben und die Beschwerdefrist erst mit der Eröffnung der Verfügung vom 16. Februar 2016 zu laufen begonnen habe. Da die Beschwerdegegnerin dem Rechtsvertreter eine neu datierte Verfügung zugestellt und auf dieser vermerkt hat, dass die neue Verfügung die Verfügung vom 8. Februar 2016 ersetze, hat vom Rechtsvertreter nicht verlangt werden können, dass er das unzulässige Vorgehen der Beschwerdegegnerin durchschaue. Gestützt auf den Vertrauensgrundsatz hat die Beschwerdefrist somit nicht bereits am 13. Februar 2016, sondern erst am Tag nach der Zustellung der Verfügung vom 16. Februar 2016, d.h. am 20. Februar 2016, zu laufen begonnen. Gesetzliche oder behördliche Fristen, die nach Tagen oder Monaten bestimmt sind, stehen vom siebten Tag vor Ostern bis und mit dem siebten Tag nach Ostern still (Art. 38 Abs. 4 lit. a ATSG). Der Ostersonntag ist im Jahr 2016 auf den 27. März gefallen, d.h. die Frist hat vom Sonntag, 20. März bis und mit Sonntag, 3. April stillgestanden. Der letzte Tag der Frist ist somit der 4. April 2016 gewesen. Der Rechtsvertreter des Beschwerdeführers hat an diesem Tag und somit rechtzeitig Beschwerde erhoben. Auf die Beschwerde ist deshalb einzutreten.</w:t>
      </w:r>
    </w:p>
    <w:p>
      <w:r>
        <w:rPr>
          <w:b/>
        </w:rPr>
        <w:t>E. 2</w:t>
      </w:r>
    </w:p>
    <w:p>
      <w:r>
        <w:t>2.1  Der Beschwerdeführer bezieht seit dem 12. Mai 2008 eine Entschädigung wegen Hilflosigkeit mittleren Grades sowie seit dem 1. Oktober 2009 zusätzlich einen Intensivpflegezuschlag (Verfügung vom 15. Dezember 2009). Mit der Revisionsverfügung vom 19. November 2012 ist der Anspruch des Beschwerdeführers unverändert bestätigt worden. Mit der angefochtenen Revisionsverfügung vom 16. Februar 2016 hat die Beschwerdegegnerin dem Beschwerdeführer eröffnet, dass ihm ab dem 1. Juli 2015 weiterhin eine Entschädigung wegen Hilflosigkeit mittleren Grades zustehe (Hilflosigkeit beim An- und Auskleiden, bei der Körperpflege, bei der Verrichtung der Notdurft und bei der Fortbewegung; Notwendigkeit einer dauernden persönlichen Überwachung). Den Intensivpflegezuschlag hat sie demgegenüber für die Zukunft (per 31. März 2016) aufgehoben. Nachfolgend ist somit zu prüfen, ob die Beschwerdegegnerin zu Recht einen weiteren Anspruch auf einen Intensivpflegezuschlag verneint hat. 2.2  Eine formell rechtskräftig zugesprochene Dauerleistung wird von Amtes wegen oder auf Gesuch hin erhöht, herabgesetzt oder aufgehoben, wenn sich der ihr zu Grunde liegende Sachverhalt nachträglich erheblich verändert hat (Art. 17 Abs. 2 ATSG). Da die Anspruchsberechtigung des Beschwerdeführers zuletzt im Jahr 2012 materiell überprüft worden ist, ist zu klären, ob sich der Sachverhalt zwischen dem 10. November 2012 und dem 16. Februar 2016 anspruchsrelevant verändert hat.</w:t>
      </w:r>
    </w:p>
    <w:p>
      <w:r>
        <w:rPr>
          <w:b/>
        </w:rPr>
        <w:t>E. 3</w:t>
      </w:r>
    </w:p>
    <w:p>
      <w:r>
        <w:t>3.1  Die Hilflosenentschädigung für Minderjährige, die zusätzlich eine intensive Betreuung brauchen, wird um einen Intensivpflegezuschlag erhöht; dieser Zuschlag wird nicht gewährt bei einem Aufenthalt in einem Heim. Der monatliche Intensivpflegezuschlag beträgt bei einem invaliditätsbedingten Betreuungsaufwand von mindestens acht Stunden pro Tag 60 %, bei einem solchen von mindestens sechs Stunden pro Tag 40 % und bei einem solchen von mindestens vier Stunden pro Tag 20 % des Höchstbetrages der Altersrente nach Art. 34 Abs. 3 und 5 AHVG. Der Zuschlag berechnet sich pro Tag (Art. 42ter Abs. 3 des Bundesgesetzes über die Invalidenversicherung, IVG, SR 831.20). Eine intensive Betreuung liegt bei Minderjährigen vor, wenn diese im Tagesdurchschnitt infolge der Beeinträchtigung der Gesundheit zusätzliche Betreuung von mindestens vier Stunden benötigen (Art. 39 Abs. 1 der Verordnung über die Invalidenversicherung, IVV, SR 831.201). Anrechenbar als Betreuung ist der Mehrbedarf an Behandlungs- und Grundpflege im Vergleich zu nicht behinderten Minderjährigen gleichen Alters. Nicht anrechenbar ist der Zeitaufwand für ärztlich verordnete medizinische Massnahmen, welche durch medizinische Hilfspersonen vorgenommen werden, sowie für pädagogisch-therapeutische Massnahmen (Art. 39 Abs. 2 IVV). Bedarf eine minderjährige Person infolge Beeinträchtigung der Gesundheit zusätzlich einer andauernden Überwachung, so kann diese als Betreuung von zwei Stunden angerechnet werden. Eine besonders intensive behinderungsbedingte Überwachung ist als Betreuung von vier Stunden anrechenbar (Art. 39 Abs. 3 IVV). 3.2  Gemäss den bundesrätlichen Erläuterungen zu den Änderungen der IVV vom 21. Mai 2003 (AHI 2003 S. 311, S. 330) entsteht ein Anspruch auf den Intensivpflegezuschlag im Sinne von Art. 39 Abs. 3 IVV nicht bereits dann, wenn ein Kind bloss während bestimmter Stunden am Tag pflegerische Unterstützung benötigt. Abgegolten werden soll vielmehr die für die Eltern extrem belastende Tatsache einer darüber hinausgehenden, rund um die Uhr notwendigen invaliditätsbedingten Überwachung, sei es aus medizinischen Gründen (z.B. Gefahr epileptischer Anfälle), sei es infolge einer spezifischen geistigen Behinderung oder bei Autismus. Der Bundesrat schlug vor, den "gewöhnlichen" Überwachungsbedarf (wie er für den Anspruch auf eine leichte Hilflosenentschädigung definiert ist) wie zwei Stunden Pflege zu gewichten. Ist die Überwachungsintensität besonders gross (wie z.B. in schweren Fällen von Autismus, bei denen ein Kind keine fünf Minuten aus den Augen gelassen werden kann und die Eltern permanent intervenieren müssen), soll die Überwachungsbedürftigkeit wie vier Stunden Pflege gewichtet werden. Die Abgrenzung zwischen einem gewöhnlichen und einem besonders intensiven Überwachungsbedarf sei auf der Ebene Kreisschreiben noch weiter zu präzisieren (vgl. auch Urteil des Eidgenössischen Versicherungsgerichts vom 19. Dezember 2006, I 684/05 E. 4.4). 3.3  Den Verwaltungsweisungen gemäss liegt eine besonders intensive dauernde Überwachung vor, wenn von der Betreuungsperson eine überdurchschnittlich hohe Aufmerksamkeit und eine ständige Interventionsbereitschaft gefordert werden. Zur Bejahung einer besonders intensiven Überwachung stellt die Nachtwache keine Voraussetzung dar (Rz. 8079 des Kreisschreibens über Invalidität und Hilflosigkeit in der Invalidenversicherung, KSIH, Version gültig ab 1. Januar 2015; Urteil des Bundesgerichts vom 25. Februar 2014, 9C_666/2013 E. 8.2.2.1). Im Kreisschreiben wird das folgende Beispiel erwähnt: "Ein autistisches Kind hat erhebliche Probleme, seine Umwelt wahrzunehmen und mit ihr zu kommunizieren. Das zeigt sich in seinem alltäglichen Umgang mit Gegenständen (z.B. Ausleeren von Behältern, Herumwerfen beliebiger Gegenstände, Beschädigung von Möbeln etc.). Das Kind kann auch keine Gefahren erkennen: So kann es z.B. unvermittelt aus dem Fenster steigen. Es ist allenfalls auch nicht in der Lage, auf verbale Rufe oder Warnungen entsprechend zu reagieren. In bestimmten Situationen kann es bspw. zu selbstverletzendem oder fremdagressivem Verhalten kommen. Die Betreuungsperson muss deshalb dauernd mit erhöhter Aufmerksamkeit in unmittelbarer Nähe des Kindes bleiben und jederzeit bereit sein einzugreifen." Per 1. März 2016 ist ein zweites Beispiel in das Kreisschreiben aufgenommen worden: "Ein Kind leidet an einer schweren Form von Epilepsie. Es hat täglich mehrere Serienanfälle, die plötzlich auftreten und bei denen jeweils die Atmung unterbricht. Die Betreuungsperson muss deshalb dauernd mit erhöhter Aufmerksamkeit in unmittelbarer Nähe des Kindes bleiben und jederzeit bereit sein eingreifen zu können." 3.4  Strittig und zu prüfen ist, ob sich die Situation des Beschwerdeführers seit der letzten materiellen Anspruchsprüfung im November 2012 in dem Sinne verbessert hat, dass der Beschwerdeführer nicht mehr auf eine besonders intensive Überwachung, sondern lediglich noch auf eine "gewöhnliche" Überwachung angewiesen ist. Die Beschwerdegegnerin hat die Reduktion des Überwachungsaufwandes damit begründet, dass der Beschwerdeführer seit der letzten Abklärung ruhiger geworden sei. Gefährliche Gegenstände wie Feuerzeuge und Messer zögen ihn nicht mehr automatisch an. Es müssten nicht mehr alle Schränke und Türen zusätzlich verriegelt werden. Die Eltern könnten sich in der offenen Küche aufhalten, während der Beschwerdeführer im Wohnzimmer spiele/fernsehe. Die Eltern haben anlässlich der Abklärung an Ort und Stelle vom 2. November 2015 erklärt, dass der Beschwerdeführer Gefahren immer noch nicht adäquat einschätzen könne und ihm die Folgen seines Handelns nicht bewusst seien. In ihrem Schreiben vom 6. März 2016 haben sie die Defizite des Beschwerdeführers anhand von Beispielen illustriert: Der Beschwerdeführer ist bereit, aus dem Fenster zu steigen, wenn er einen Rasenmäher hört oder sieht. Fühlt er sich bedroht, zerrt er seine Schwester an den Haaren und lässt diese nicht mehr los, weil er sich so verkrampft. Aus einem Taschentuch formt er Kügelchen und steckt sie sich in die Ohren. Dass der Beschwerdeführer Gefahren nicht adäquat einschätzen kann und ihm die Folgen seines Handelns nicht bewusst sind, bestätigt der Bericht der Ergotherapeutin vom 22. Mai 2015. Zwar hat der Beschwerdeführer in den verschiedenen Entwicklungsbereichen im Schuljahr 2014/2015 deutliche Fortschritte erzielt. Diese müssen allerdings in Relation mit den Zielsetzungen gesehen werden: Das Ziel der Ergotherapie im Schuljahr 2014/2015 ist insbesondere gewesen, dass der Beschwerdeführer einzelne Teilschritte einer bekannten Alltagshandlung (z.B. An- und Auskleiden) ohne Input einer Bezugsperson vermehrt selbständig planen und ausführen kann. Aufgrund des derzeitigen Entwicklungsstandes leuchtet es ein, dass der Beschwerdeführer Gefahren sowie die Folgen seines Handelns nur ungenügend einschätzen kann. Eine hörende Überwachung mit Kontrollblicken muss daher weiterhin gewährleistet sein. Zwar besteht gegenüber der letzten Abklärung insoweit eine verbesserte Situation, als sich der Beschwerdeführer eine Zeit lang selber beschäftigen kann und die Eltern weniger oft intervenieren müssen. Die Beobachtungen während der Abklärung an Ort und Stelle müssen allerdings insoweit relativiert werden, als bekannt ist, dass (auch gesunde) Kinder mit dem Fernseher "ruhig gestellt" werden können. Die Beobachtungen der Abklärungsperson vermögen somit kein umfassendes Bild über das Verhalten des Beschwerdeführers im Tagesverlauf zu liefern. Der Überwachungsbedarf ist aber sicher nicht mehr derart intensiv, dass der Beschwerdeführer keine Sekunde aus den Augen gelassen werden könnte oder dass sich die Eltern jederzeit unmittelbar neben dem Beschwerdeführer befinden müssten. Der betreuende Elternteil kann sich also neben der Überwachung kurzzeitig auch anderen Aufgaben wie z.B. dem Haushalt oder der Betreuung der beiden anderen Kinder widmen. Trotzdem ist der betreuende Elternteil bei der Erledigung anderer Aufgaben durch die Überwachungsbedürftigkeit des Beschwerdeführers weiterhin stark eingeschränkt: Die Betreuungsperson kann sich nur wenige Meter vom Beschwerdeführer entfernt aufhalten und muss alle paar Minuten kontrollieren, was dieser macht. Der ganze Tagesablauf ist auf den Beschwerdeführer ausgerichtet, was für die ganze Familie extrem belastend sein muss. Zusammenfassend ist festzuhalten, dass sich die Situation zwischenzeitlich zwar insoweit verbessert hat, dass sich der Beschwerdeführer besser mit sich selber beschäftigen kann und die Eltern weniger oft intervenieren müssen. Da der Beschwerdeführer Gefahren nicht adäquat einschätzen kann und sich der Folgen seines Handelns nicht bewusst ist, ist es aber unverändert notwendig, dass sich eine Bezugsperson in seiner Nähe (hörende Überwachung) befindet, die jederzeit eingreifen kann. Der Überwachungsbedarf hat sich also insoweit nicht geändert, als sich weiterhin eine Bezugsperson mit überdurchschnittlich hoher Aufmerksamkeit zumindest in Hörweite des Beschwerdeführers befinden muss, um bei Bedarf sofort intervenieren zu können. Die Kinderärztin hat in ihrem Bericht vom 28. August 2015 bestätigt, dass sich der behinderungsbedingte Mehraufwand an Hilfeleistung und persönlicher Überwachung nicht geändert habe. Dem widerspricht nicht, dass sie den Gesundheitszustand des Beschwerdeführers als besserungsfähig bezeichnet hat. Von einem besserungsfähigen Zustand kann keinesfalls ohne weiteres darauf geschlossen werden, dass der Beschwerdeführer nicht mehr auf eine besonders intensive Überwachung angewiesen ist. Zusammenfassend ist festzuhalten, dass der Beschwerdeführer infolge seiner Gesundheitsbeeinträchtigung nicht nur einer "gewöhnlichen", sondern weiterhin einer besonders intensiven Überwachung bedarf, weshalb ihm nach wie vor gemäss Art. 39 Abs. 3 Satz 2 IVV als Betreuung vier Stunden anrechenbar sind. Die Beschwerdegegnerin hat dem Beschwerdeführer für die Grund- und Behandlungspflege einen invaliditätsbedingten Mehraufwand von einer Stunde und 40 Minuten angerechnet (siehe IV-act. 180-7 und 192). Da zuzüglich vier Stunden pro Tag für die besonders intensive Überwachung anzurechnen sind, beläuft sich der invaliditätsbedingte Mehraufwand pro Tag auf insgesamt fünf Stunden und 40 Minuten. Der Beschwerdeführer hat bei einem invaliditätsbedingten Betreuungsaufwand von mindestens vier, aber weniger als sechs Stunden daher weiterhin Anspruch auf den bisherigen Intensivpflegezuschlag von 20 % des Höchstbetrages der Altersrente nach Art. 34 Abs. 3 und 5 AHVG. 3.5  Demnach ist die angefochtene Verfügung in Gutheissung der Beschwerde aufzuheben. Der Beschwerdeführer hat − zusätzlich zur Entschädigung bei einer mittelschweren Hilflosigkeit − ab dem 1. April 2016 weiterhin Anspruch auf einen Intensivpflegezuschlag bei einem invaliditätsbedingten Betreuungsaufwand von wenigstens vier, aber weniger als sechs Stunden. Die Sache wird zur Festsetzung des konkreten Leistungsanspruchs an die Beschwerdegegnerin zurückgewiesen.</w:t>
      </w:r>
    </w:p>
    <w:p>
      <w:r>
        <w:rPr>
          <w:b/>
        </w:rPr>
        <w:t>E. 4</w:t>
      </w:r>
    </w:p>
    <w:p>
      <w:r>
        <w:t>4.1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Beschwerdegegnerin aufzuerlegen. Der geleistete Kostenvorschuss von Fr. 600.-- wird dem Beschwerdeführer zurückerstattet. 4.2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des Beschwerdeführers hat keine Honorarnote eingereicht. Bei der Festsetzung der Parteientschädigung ist zu berücksichtigen, dass der Vertretungsaufwand sowohl in Bezug auf den Umfang der massgebenden Akten als auch in Bezug auf die Komplexität der zu beantwortenden Rechtsfragen erheblich tiefer gewesen ist als bei einem durchschnittlichen IV-Fall. Dies rechtfertigt es, von einem Vertretungsaufwand von Fr. 2'500.-- auszugehen. Die Beschwerdegegnerin hat den Beschwerdeführer entsprechend mit Fr. 2'500.-- (einschliesslich Barauslagen und Mehrwertsteuer) zu entschädigen. Entscheid im Zirkulationsverfahren gemäss Art. 39 VRP 1. In Gutheissung der Beschwerde wird die angefochtene Verfügung vom 16. Februar 2016 aufgehoben und dem Beschwerdeführer wird ab dem 1. April 2016 weiterhin − zusätzlich zur Entschädigung bei einer mittelschweren Hilflosigkeit − ein Intensivpflegezuschlag bei einem invaliditätsbedingten Betreuungsaufwand von wenigstens vier, aber weniger als sechs Stunden zugesprochen; die Sache wird zur Festsetzung des konkreten Leistungsanspruchs an die Beschwerdegegnerin zurückgewiesen. 2. Die Beschwerdegegnerin hat die Gerichtskosten von Fr. 600.-- zu bezahlen; der geleistete Kostenvorschuss von Fr. 600.-- wird dem Beschwerdeführer zurückerstattet. 3. Die Beschwerdegegnerin hat dem Beschwerdeführer eine Parteientschädigung von Fr. 2'500.--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